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13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Компания «Росэнергоатома» «ВНИИАЭС» заняла 1 место в рейтинге инновационной деятельности Госкорпорации «Росатом» 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bCs w:val="false"/>
          <w:i/>
          <w:i/>
          <w:iCs/>
          <w:color w:val="000000"/>
          <w:spacing w:val="0"/>
          <w:kern w:val="0"/>
          <w:sz w:val="24"/>
          <w:szCs w:val="24"/>
          <w:shd w:fill="auto" w:val="clear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bCs w:val="false"/>
          <w:i/>
          <w:iCs/>
          <w:color w:val="000000"/>
          <w:spacing w:val="0"/>
          <w:kern w:val="0"/>
          <w:sz w:val="24"/>
          <w:szCs w:val="24"/>
          <w:shd w:fill="auto" w:val="clear"/>
          <w:lang w:val="ru-RU" w:eastAsia="zh-CN" w:bidi="hi-IN"/>
        </w:rPr>
        <w:t>Развитие научного потенциала является одной из ключевых задач стратегического развития предприятий атомной отрасли.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Коллектив АО</w:t>
      </w:r>
      <w:r>
        <w:rPr>
          <w:rFonts w:cs="Times New Roman" w:ascii="Trebuchet MS" w:hAnsi="Trebuchet M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 xml:space="preserve"> «Всероссийский научно-исследовательский институт по эксплуатации атомных электростанций» (ВНИИАЭС, входит в контур управления Концерна «Росэнергоатом» Электроэнергетический дивизион Госкорпорации «Росатом») получил п</w:t>
      </w:r>
      <w:r>
        <w:rPr>
          <w:rFonts w:ascii="Trebuchet MS" w:hAnsi="Trebuchet MS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 xml:space="preserve">риз и диплом за 1-е место среди предприятий атомной отрасли по интеллектуальной деятельности в интегральном рейтинге Госкорпорации «Росатом» за 2023 год. </w:t>
      </w:r>
      <w:r>
        <w:rPr>
          <w:rFonts w:ascii="Trebuchet MS" w:hAnsi="Trebuchet MS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Торжественное подведение итого</w:t>
      </w:r>
      <w:r>
        <w:rPr>
          <w:rFonts w:ascii="Trebuchet MS" w:hAnsi="Trebuchet M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в состоялось на ежегодной конференции «Управление инновациями Росатома» в Казани.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b w:val="false"/>
          <w:bCs w:val="false"/>
          <w:color w:val="000000"/>
          <w:sz w:val="24"/>
          <w:szCs w:val="24"/>
          <w:shd w:fill="auto" w:val="clear"/>
        </w:rPr>
        <w:t>Первую строчку в рейтинге</w:t>
      </w:r>
      <w:r>
        <w:rPr>
          <w:rFonts w:ascii="Trebuchet MS" w:hAnsi="Trebuchet M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>, наряду с другими показателями,</w:t>
      </w:r>
      <w:r>
        <w:rPr>
          <w:rFonts w:ascii="Trebuchet MS" w:hAnsi="Trebuchet MS"/>
          <w:b w:val="false"/>
          <w:bCs w:val="false"/>
          <w:color w:val="000000"/>
          <w:sz w:val="24"/>
          <w:szCs w:val="24"/>
          <w:shd w:fill="auto" w:val="clear"/>
        </w:rPr>
        <w:t xml:space="preserve"> институту</w:t>
      </w:r>
      <w:r>
        <w:rPr>
          <w:rFonts w:ascii="Trebuchet MS" w:hAnsi="Trebuchet M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Trebuchet MS" w:hAnsi="Trebuchet MS"/>
          <w:b w:val="false"/>
          <w:bCs w:val="false"/>
          <w:color w:val="000000"/>
          <w:sz w:val="24"/>
          <w:szCs w:val="24"/>
          <w:shd w:fill="auto" w:val="clear"/>
        </w:rPr>
        <w:t>позволили занять применение цифровых технологий и использование объектов интеллектуальной собственности</w:t>
      </w:r>
      <w:r>
        <w:rPr>
          <w:rFonts w:ascii="Trebuchet MS" w:hAnsi="Trebuchet MS"/>
          <w:b w:val="false"/>
          <w:color w:val="000000"/>
          <w:sz w:val="24"/>
          <w:szCs w:val="24"/>
          <w:shd w:fill="auto" w:val="clear"/>
        </w:rPr>
        <w:t>. Особо было отмечено такое дост</w:t>
      </w:r>
      <w:r>
        <w:rPr>
          <w:rFonts w:ascii="Trebuchet MS" w:hAnsi="Trebuchet MS"/>
          <w:b w:val="false"/>
          <w:color w:val="000000"/>
          <w:sz w:val="24"/>
          <w:szCs w:val="24"/>
        </w:rPr>
        <w:t>ижение, как 100-процентный у</w:t>
      </w:r>
      <w:r>
        <w:rPr>
          <w:rFonts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ровень обучения сотрудников работе с цифровыми технологиями.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color w:val="000000"/>
          <w:sz w:val="24"/>
          <w:szCs w:val="24"/>
        </w:rPr>
      </w:pPr>
      <w:r>
        <w:rPr>
          <w:rFonts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Так, сегодня удельный вес работников, выполняющих научно-исследовательские, опытно-конструкторские и технологические работы (НИОКТР) составляет 96,9%. Уровень использования объектов интеллектуальной собственности в институте - около 97%, а удельный вес выручки от продажи инновационных товаров, работ и услуг превысил 71%.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false"/>
          <w:color w:val="000000"/>
          <w:sz w:val="24"/>
          <w:szCs w:val="24"/>
          <w:shd w:fill="auto" w:val="clear"/>
        </w:rPr>
        <w:t>Система расчёта интегрального рейтинга включает в себя четыре тематических блока: технико-экономические условия для инновационной деятельности; кадровый потенциал науки и инноваций; ре</w:t>
      </w:r>
      <w:r>
        <w:rPr>
          <w:rFonts w:ascii="Trebuchet MS" w:hAnsi="Trebuchet MS"/>
          <w:b w:val="false"/>
          <w:sz w:val="24"/>
          <w:szCs w:val="24"/>
          <w:shd w:fill="auto" w:val="clear"/>
        </w:rPr>
        <w:t>зультативность инновационной деятельности; инновационная активность.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 w:val="false"/>
          <w:i w:val="false"/>
          <w:iCs w:val="false"/>
          <w:sz w:val="24"/>
          <w:szCs w:val="24"/>
        </w:rPr>
        <w:t xml:space="preserve">«Наш институт находится на стыке науки и промышленности, что открывает широкие возможности внедрения инновационных разработок в производство, - отметил глава АО «ВНИИАЭС» </w:t>
      </w:r>
      <w:r>
        <w:rPr>
          <w:rFonts w:ascii="Trebuchet MS" w:hAnsi="Trebuchet MS"/>
          <w:b/>
          <w:bCs/>
          <w:i w:val="false"/>
          <w:iCs w:val="false"/>
          <w:sz w:val="24"/>
          <w:szCs w:val="24"/>
        </w:rPr>
        <w:t>Фарит Тухветов</w:t>
      </w:r>
      <w:r>
        <w:rPr>
          <w:rFonts w:ascii="Trebuchet MS" w:hAnsi="Trebuchet MS"/>
          <w:b w:val="false"/>
          <w:i w:val="false"/>
          <w:iCs w:val="false"/>
          <w:sz w:val="24"/>
          <w:szCs w:val="24"/>
        </w:rPr>
        <w:t xml:space="preserve">. - Первая строчка в инновационном рейтинге атомной отрасли - результат работы всего коллектива, который сейчас представляет уникальный сплав опыта, профессионализма и молодости. В то же время, это стимул для усердного труда, когда статус лидера в инновационной деятельности должен постоянно подтверждаться. Особенно приятно получить такую награду в год 45-летия ВНИИАЭС». </w:t>
      </w:r>
      <w:r>
        <w:rPr>
          <w:rFonts w:ascii="Trebuchet MS" w:hAnsi="Trebuchet MS"/>
          <w:b w:val="false"/>
          <w:i/>
          <w:sz w:val="24"/>
          <w:szCs w:val="24"/>
        </w:rPr>
        <w:t xml:space="preserve"> 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Отметим, рейтинг рассчитывался департаментом научно-технических программ и проектов Госкорпорации «Росатом» в целях повышения информационной прозрачности вклада организаций отрасли в развитие инноваций и оценки интенсификации инновационной деятельности, ориентированной на повышение конкурентоспособности Госкорпорации.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Несмотря на новизну данного инструмента оценки, АО «ВНИИАЭС» уже имеет положительный опыт в этом направлении. Так, п</w:t>
      </w:r>
      <w:r>
        <w:rPr>
          <w:rFonts w:ascii="Trebuchet MS" w:hAnsi="Trebuchet MS"/>
          <w:i w:val="false"/>
          <w:strike w:val="false"/>
          <w:dstrike w:val="false"/>
          <w:outline w:val="false"/>
          <w:shadow w:val="false"/>
          <w:color w:val="171717"/>
          <w:sz w:val="24"/>
          <w:szCs w:val="24"/>
          <w:u w:val="none"/>
          <w:em w:val="none"/>
        </w:rPr>
        <w:t xml:space="preserve">о итогам прошлого рейтинга за 2022 год, ВНИИАЭС занял третье место. 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b/>
          <w:bCs/>
          <w:i/>
          <w:i/>
          <w:iCs/>
          <w:sz w:val="24"/>
          <w:szCs w:val="24"/>
        </w:rPr>
      </w:pPr>
      <w:r>
        <w:rPr>
          <w:rFonts w:ascii="Trebuchet MS" w:hAnsi="Trebuchet MS"/>
          <w:b/>
          <w:bCs/>
          <w:i/>
          <w:iCs/>
          <w:strike w:val="false"/>
          <w:dstrike w:val="false"/>
          <w:outline w:val="false"/>
          <w:shadow w:val="false"/>
          <w:color w:val="171717"/>
          <w:sz w:val="24"/>
          <w:szCs w:val="24"/>
          <w:u w:val="none"/>
          <w:em w:val="none"/>
        </w:rPr>
        <w:t>Справка:</w:t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i/>
          <w:i/>
          <w:iCs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/>
          <w:iCs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  <w:t>Сегодня перед российской промышленностью стоит цель в кратчайшие сроки обеспечить технологический суверенитет и переход на новейшие технологии. Государство направляет значительные ресурсы на ускоренное развитие отечественной исследовательской, инфраструктурной, научно-технологической базы. Внедрение инноваций, курс на импортонезависимость позволяет Росатому занимать новые ниши на рынке, повышая конкурентоспособность атомной отрасли и промышленности в целом.</w:t>
      </w:r>
    </w:p>
    <w:p>
      <w:pPr>
        <w:pStyle w:val="Normal"/>
        <w:spacing w:lineRule="auto" w:line="240" w:before="0" w:after="113"/>
        <w:jc w:val="both"/>
        <w:rPr>
          <w:i w:val="false"/>
          <w:i w:val="false"/>
          <w:strike w:val="false"/>
          <w:dstrike w:val="false"/>
          <w:outline w:val="false"/>
          <w:shadow w:val="false"/>
          <w:color w:val="171717"/>
          <w:u w:val="none"/>
          <w:em w:val="none"/>
        </w:rPr>
      </w:pPr>
      <w:r>
        <w:rPr>
          <w:rFonts w:eastAsia="Tahoma"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shd w:fill="FFFFFF" w:val="clear"/>
          <w:em w:val="none"/>
          <w:lang w:val="ru-RU" w:eastAsia="zh-CN" w:bidi="hi-IN"/>
        </w:rPr>
        <w:t>Научно-исследовательская деятельность госкорпорации «Росатом» направлена на создание новых решений для энергетики и инновационных технологий, повышающих качество жизни людей. База для осуществления научно-исследовательской деятельности - это входящие в состав «Росатома» ядерные центры и научные институты. Это большая и значимая часть атомной отрасли. </w:t>
      </w:r>
    </w:p>
    <w:p>
      <w:pPr>
        <w:pStyle w:val="Normal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cs="Times New Roman" w:ascii="Trebuchet MS" w:hAnsi="Trebuchet MS"/>
          <w:b/>
          <w:bCs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>Акционерное общество «Всероссийский научно-исследовательский институт по эксплуатации атомных электростанций» (ВНИИАЭС</w:t>
      </w:r>
      <w:r>
        <w:rPr>
          <w:rFonts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 xml:space="preserve">) - входит в </w:t>
      </w:r>
      <w:r>
        <w:rPr>
          <w:rFonts w:cs="Times New Roman" w:ascii="Trebuchet MS" w:hAnsi="Trebuchet MS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>Эл</w:t>
      </w:r>
      <w:r>
        <w:rPr>
          <w:rFonts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</w:rPr>
        <w:t>ектроэнергетический дивизион Госкорпорации «Росатом», является дочерним зависимым предприятием АО «Концерн Росэнергоатом» и выполняет функции научного руководителя по всем проблемам эксплуатации атомных станций Российской Федерации.</w:t>
      </w:r>
    </w:p>
    <w:p>
      <w:pPr>
        <w:pStyle w:val="Normal"/>
        <w:spacing w:lineRule="auto" w:line="240" w:before="0" w:after="113"/>
        <w:jc w:val="right"/>
        <w:rPr>
          <w:rFonts w:ascii="Trebuchet MS" w:hAnsi="Trebuchet MS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113"/>
        <w:jc w:val="right"/>
        <w:rPr>
          <w:rFonts w:ascii="Trebuchet MS" w:hAnsi="Trebuchet MS" w:eastAsia="Tahoma" w:cs="Noto Sans Devanagari"/>
          <w:b w:val="false"/>
          <w:i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i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i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i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r>
    </w:p>
    <w:p>
      <w:pPr>
        <w:pStyle w:val="Normal"/>
        <w:spacing w:lineRule="auto" w:line="240" w:before="0" w:after="113"/>
        <w:jc w:val="both"/>
        <w:rPr>
          <w:rFonts w:ascii="Trebuchet MS" w:hAnsi="Trebuchet MS" w:eastAsia="Tahoma" w:cs="Noto Sans Devanagari"/>
          <w:b w:val="false"/>
          <w:i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pPr>
      <w:r>
        <w:rPr>
          <w:rFonts w:eastAsia="Tahoma" w:cs="Noto Sans Devanagari" w:ascii="Trebuchet MS" w:hAnsi="Trebuchet MS"/>
          <w:b w:val="false"/>
          <w:i w:val="false"/>
          <w:strike w:val="false"/>
          <w:dstrike w:val="false"/>
          <w:outline w:val="false"/>
          <w:shadow w:val="false"/>
          <w:color w:val="171717"/>
          <w:spacing w:val="0"/>
          <w:kern w:val="0"/>
          <w:sz w:val="24"/>
          <w:szCs w:val="24"/>
          <w:u w:val="none"/>
          <w:em w:val="none"/>
          <w:lang w:val="ru-RU" w:eastAsia="zh-CN" w:bidi="hi-IN"/>
        </w:rPr>
      </w:r>
    </w:p>
    <w:sectPr>
      <w:type w:val="nextPage"/>
      <w:pgSz w:w="11906" w:h="16838"/>
      <w:pgMar w:left="1009" w:right="861" w:gutter="0" w:header="0" w:top="655" w:footer="0" w:bottom="5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4320</TotalTime>
  <Application>LibreOffice/7.5.6.2$Linux_X86_64 LibreOffice_project/50$Build-2</Application>
  <AppVersion>15.0000</AppVersion>
  <Pages>2</Pages>
  <Words>433</Words>
  <Characters>3411</Characters>
  <CharactersWithSpaces>3842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2024-09-16T11:21:37Z</cp:lastPrinted>
  <dcterms:modified xsi:type="dcterms:W3CDTF">2024-09-17T12:32:55Z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