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rebuchet MS" w:hAnsi="Trebuchet MS"/>
          <w:b/>
          <w:sz w:val="24"/>
          <w:szCs w:val="24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113"/>
        <w:jc w:val="both"/>
        <w:rPr/>
      </w:pPr>
      <w:r>
        <w:rPr>
          <w:rFonts w:ascii="Trebuchet MS" w:hAnsi="Trebuchet MS"/>
          <w:b/>
          <w:sz w:val="24"/>
          <w:szCs w:val="24"/>
        </w:rPr>
        <w:t xml:space="preserve">На площадке ВНИИАЭС успешно завершились испытания аналитического тренажёра для уникального проекта «Прорыв» </w:t>
      </w:r>
    </w:p>
    <w:p>
      <w:pPr>
        <w:pStyle w:val="Normal"/>
        <w:spacing w:lineRule="auto" w:line="240" w:before="0" w:after="113"/>
        <w:jc w:val="both"/>
        <w:rPr>
          <w:i/>
          <w:i/>
          <w:iCs/>
          <w:color w:val="000000"/>
        </w:rPr>
      </w:pP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Он предназначен для экспериментального реактора </w:t>
      </w:r>
      <w:r>
        <w:rPr>
          <w:rFonts w:ascii="Trebuchet MS" w:hAnsi="Trebuchet MS"/>
          <w:i/>
          <w:iCs/>
          <w:color w:val="000000"/>
          <w:sz w:val="24"/>
          <w:szCs w:val="24"/>
          <w:highlight w:val="white"/>
        </w:rPr>
        <w:t xml:space="preserve">БРЕСТ-ОД-300 </w:t>
      </w:r>
      <w:r>
        <w:rPr>
          <w:rFonts w:ascii="Trebuchet MS" w:hAnsi="Trebuchet MS"/>
          <w:i/>
          <w:iCs/>
          <w:color w:val="000000"/>
          <w:sz w:val="24"/>
          <w:szCs w:val="24"/>
          <w:highlight w:val="white"/>
          <w:lang w:val="en-US"/>
        </w:rPr>
        <w:t>IV</w:t>
      </w:r>
      <w:r>
        <w:rPr>
          <w:rFonts w:ascii="Trebuchet MS" w:hAnsi="Trebuchet MS"/>
          <w:i/>
          <w:iCs/>
          <w:color w:val="000000"/>
          <w:sz w:val="24"/>
          <w:szCs w:val="24"/>
          <w:highlight w:val="white"/>
        </w:rPr>
        <w:t xml:space="preserve"> поколения ядерных энергетических систем</w:t>
      </w:r>
      <w:bookmarkStart w:id="0" w:name="_GoBack_Копия_1"/>
      <w:bookmarkEnd w:id="0"/>
      <w:r>
        <w:rPr>
          <w:rFonts w:ascii="Trebuchet MS" w:hAnsi="Trebuchet MS"/>
          <w:i/>
          <w:iCs/>
          <w:color w:val="000000"/>
          <w:sz w:val="24"/>
          <w:szCs w:val="24"/>
          <w:highlight w:val="white"/>
        </w:rPr>
        <w:t>.</w:t>
      </w:r>
      <w:r>
        <w:rPr>
          <w:rFonts w:ascii="Trebuchet MS" w:hAnsi="Trebuchet MS"/>
          <w:i/>
          <w:i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113"/>
        <w:jc w:val="both"/>
        <w:rPr>
          <w:i w:val="false"/>
          <w:i w:val="false"/>
          <w:iCs w:val="false"/>
          <w:color w:val="000000"/>
        </w:rPr>
      </w:pPr>
      <w:r>
        <w:rPr>
          <w:rFonts w:ascii="Trebuchet MS" w:hAnsi="Trebuchet MS"/>
          <w:i w:val="false"/>
          <w:iCs w:val="false"/>
          <w:color w:val="000000"/>
          <w:sz w:val="24"/>
          <w:szCs w:val="24"/>
        </w:rPr>
        <w:t xml:space="preserve">Испытания аналитического тренажера (АТ), завершившиеся 30 мая 2025 года, проходили на площадке </w:t>
      </w:r>
      <w:r>
        <w:rPr>
          <w:rFonts w:ascii="Trebuchet MS" w:hAnsi="Trebuchet MS"/>
          <w:i w:val="false"/>
          <w:iCs w:val="false"/>
          <w:color w:val="000000"/>
          <w:sz w:val="24"/>
          <w:szCs w:val="24"/>
          <w:highlight w:val="white"/>
        </w:rPr>
        <w:t>Всероссийского научно-исследовательского института по эксплуатации атомных электростанций (</w:t>
      </w:r>
      <w:r>
        <w:rPr>
          <w:rFonts w:ascii="Trebuchet MS" w:hAnsi="Trebuchet MS"/>
          <w:i w:val="false"/>
          <w:iCs w:val="false"/>
          <w:color w:val="000000"/>
          <w:sz w:val="24"/>
          <w:szCs w:val="24"/>
        </w:rPr>
        <w:t xml:space="preserve">ВНИИАЭС, входит в Электроэнергетический дивизион госкорпорации «Росатом»), где он разрабатывался с декабря 2022 года. </w:t>
      </w:r>
    </w:p>
    <w:p>
      <w:pPr>
        <w:pStyle w:val="Normal"/>
        <w:spacing w:lineRule="auto" w:line="240" w:before="0" w:after="113"/>
        <w:jc w:val="both"/>
        <w:rPr/>
      </w:pPr>
      <w:r>
        <w:rPr>
          <w:rFonts w:ascii="Trebuchet MS" w:hAnsi="Trebuchet MS"/>
          <w:sz w:val="24"/>
          <w:szCs w:val="24"/>
        </w:rPr>
        <w:t xml:space="preserve">АТ представляет собой электронную копию щита управления блока-прототипа, где каждая панель отображается на одном интерактивном мониторе - тач-скрине. Тренажер предназначен для подготовки персонала блочного щита управления блока-прототипа. Все 16 электронных панелей АТ объединены в программно-аппаратный комплекс с моделирующим комплексом и рабочим станциями инструкторов АТ. </w:t>
      </w:r>
    </w:p>
    <w:p>
      <w:pPr>
        <w:pStyle w:val="Normal"/>
        <w:spacing w:lineRule="auto" w:line="240" w:before="0" w:after="113"/>
        <w:jc w:val="both"/>
        <w:rPr>
          <w:color w:val="000000"/>
        </w:rPr>
      </w:pPr>
      <w:r>
        <w:rPr>
          <w:rFonts w:ascii="Trebuchet MS" w:hAnsi="Trebuchet MS"/>
          <w:color w:val="000000"/>
          <w:sz w:val="24"/>
          <w:szCs w:val="24"/>
        </w:rPr>
        <w:t xml:space="preserve">Реактору БРЕСТ-ОД-300 на быстрых нейтронах со свинцовым теплоносителем нет аналогов ни в нашей стране, ни в мире. Он строится на АО «Сибирский химический комбинат» (СХК) и является ключевой частью </w:t>
      </w:r>
      <w:r>
        <w:rPr>
          <w:rFonts w:ascii="Trebuchet MS" w:hAnsi="Trebuchet MS"/>
          <w:color w:val="000000"/>
          <w:sz w:val="24"/>
          <w:szCs w:val="24"/>
          <w:shd w:fill="F2F2F2" w:val="clear"/>
        </w:rPr>
        <w:t xml:space="preserve">Опытно-демонстрационного энергокомплекса (ОДЭК) IV поколения, сооружаемого в рамках </w:t>
      </w:r>
      <w:r>
        <w:rPr>
          <w:rFonts w:ascii="Trebuchet MS" w:hAnsi="Trebuchet MS"/>
          <w:color w:val="000000"/>
          <w:sz w:val="24"/>
          <w:szCs w:val="24"/>
        </w:rPr>
        <w:t xml:space="preserve">проекта «Прорыв», где предполагается отработать </w:t>
      </w:r>
      <w:r>
        <w:rPr>
          <w:rFonts w:ascii="Trebuchet MS" w:hAnsi="Trebuchet MS"/>
          <w:color w:val="000000"/>
          <w:sz w:val="24"/>
          <w:szCs w:val="24"/>
          <w:highlight w:val="white"/>
        </w:rPr>
        <w:t>технологии замкнутого ядерного топливного цикла, новые виды топлива и материалов для вывода ядерной энергетики на новый качественный уровень.</w:t>
      </w:r>
    </w:p>
    <w:p>
      <w:pPr>
        <w:pStyle w:val="Normal"/>
        <w:spacing w:lineRule="auto" w:line="240" w:before="0" w:after="113"/>
        <w:jc w:val="both"/>
        <w:rPr>
          <w:color w:val="000000"/>
        </w:rPr>
      </w:pPr>
      <w:r>
        <w:rPr>
          <w:rFonts w:ascii="Trebuchet MS" w:hAnsi="Trebuchet MS"/>
          <w:color w:val="000000"/>
          <w:sz w:val="24"/>
          <w:szCs w:val="24"/>
        </w:rPr>
        <w:t xml:space="preserve">Сложность и новизна реакторной установки БРЕСТ-ОД-300 обусловили необходимость привлечения Института проблем безопасного развития атомной энергетики Российской Академии Наук (ИБРАЭ РАН) к разработке полномасштабной модели энергоблока. Этот институт имеет необходимый опыт моделирования аналогичных процессов и давно участвует в проекте «Прорыв». </w:t>
      </w:r>
    </w:p>
    <w:p>
      <w:pPr>
        <w:pStyle w:val="Normal"/>
        <w:spacing w:lineRule="auto" w:line="240" w:before="0" w:after="113"/>
        <w:jc w:val="both"/>
        <w:rPr>
          <w:color w:val="000000"/>
        </w:rPr>
      </w:pPr>
      <w:r>
        <w:rPr>
          <w:rFonts w:ascii="Trebuchet MS" w:hAnsi="Trebuchet MS"/>
          <w:color w:val="000000"/>
          <w:sz w:val="24"/>
          <w:szCs w:val="24"/>
        </w:rPr>
        <w:t xml:space="preserve">Другим партнером ВНИИАЭС стало акционерное общество «Ордена Ленина Научно-исследовательский и конструкторский институт энерготехники имени Н.А. Доллежаля» (АО «НИКИЭТ»), выполняющее функции генерального подрядчика по разработке и поставке автоматизированных систем управления технологическими процессами (АСУ ТП) блока-прототипа. </w:t>
      </w:r>
    </w:p>
    <w:p>
      <w:pPr>
        <w:pStyle w:val="Normal"/>
        <w:spacing w:lineRule="auto" w:line="240" w:before="0" w:after="113"/>
        <w:jc w:val="both"/>
        <w:rPr/>
      </w:pPr>
      <w:r>
        <w:rPr>
          <w:rFonts w:ascii="Trebuchet MS" w:hAnsi="Trebuchet MS"/>
          <w:color w:val="000000"/>
          <w:sz w:val="24"/>
          <w:szCs w:val="24"/>
        </w:rPr>
        <w:t xml:space="preserve">«НИКИЭТ реализовывал свою модель АСУ ТП на многоядерном сервере с 70 ядрами, пришлось обеспечить интеграцию этого сервера в  аппаратный комплекс аналитического тренажера, - отметил руководитель департамента моделирующих средств технической поддержки эксплуатации АЭС АО </w:t>
      </w:r>
      <w:r>
        <w:rPr>
          <w:rFonts w:ascii="Trebuchet MS" w:hAnsi="Trebuchet MS"/>
          <w:sz w:val="24"/>
          <w:szCs w:val="24"/>
        </w:rPr>
        <w:t xml:space="preserve">«ВНИИАЭС» </w:t>
      </w:r>
      <w:r>
        <w:rPr>
          <w:rFonts w:ascii="Trebuchet MS" w:hAnsi="Trebuchet MS"/>
          <w:b/>
          <w:bCs/>
          <w:sz w:val="24"/>
          <w:szCs w:val="24"/>
        </w:rPr>
        <w:t>Виктор Чернаков</w:t>
      </w:r>
      <w:r>
        <w:rPr>
          <w:rFonts w:ascii="Trebuchet MS" w:hAnsi="Trebuchet MS"/>
          <w:sz w:val="24"/>
          <w:szCs w:val="24"/>
        </w:rPr>
        <w:t>. - С этой задачей ВНИИАЭС успешно справился. Проект БРЕСТ-ОД-300 - совершенно новый технологический объект со специфической конструкцией реакторной установки и свинцовым теплоносителем, с которыми ранее нашему отделению сталкиваться не приходилось. Поэтому в ходе разработки АТ пришлось решать большое количество новых задач, но мы справились».</w:t>
      </w:r>
    </w:p>
    <w:p>
      <w:pPr>
        <w:pStyle w:val="Normal"/>
        <w:spacing w:lineRule="auto" w:line="240" w:before="0" w:after="113"/>
        <w:jc w:val="both"/>
        <w:rPr/>
      </w:pPr>
      <w:r>
        <w:rPr>
          <w:rFonts w:ascii="Trebuchet MS" w:hAnsi="Trebuchet MS"/>
          <w:sz w:val="24"/>
          <w:szCs w:val="24"/>
        </w:rPr>
        <w:t xml:space="preserve">Комплексные испытания АТ длились неделю. В них участвовали представители заказчика – АО «СХК», и технологического интегратора - АО «Прорыв». Предъявляли тренажер к сдаче специалисты ВНИИАЭС вместе со своими субподрядчиками ИБРАЭ РАН и НИКИЭТ. </w:t>
      </w:r>
    </w:p>
    <w:p>
      <w:pPr>
        <w:pStyle w:val="Normal"/>
        <w:spacing w:lineRule="auto" w:line="240" w:before="0" w:after="113"/>
        <w:jc w:val="both"/>
        <w:rPr/>
      </w:pPr>
      <w:r>
        <w:rPr>
          <w:rFonts w:ascii="Trebuchet MS" w:hAnsi="Trebuchet MS"/>
          <w:sz w:val="24"/>
          <w:szCs w:val="24"/>
        </w:rPr>
        <w:t xml:space="preserve">«По результатам комплексных испытаний команда экспертов подтвердила соответствие АТ текущим исходным данным для моделирования энергоблока БРЕСТ-ОД-300, - отметил начальник учебно-тренировочного и информационного центра ОДЭК АО «СХК» </w:t>
      </w:r>
      <w:r>
        <w:rPr>
          <w:rFonts w:ascii="Trebuchet MS" w:hAnsi="Trebuchet MS"/>
          <w:b/>
          <w:bCs/>
          <w:sz w:val="24"/>
          <w:szCs w:val="24"/>
        </w:rPr>
        <w:t>Егор Клевцов</w:t>
      </w:r>
      <w:r>
        <w:rPr>
          <w:rFonts w:ascii="Trebuchet MS" w:hAnsi="Trebuchet MS"/>
          <w:sz w:val="24"/>
          <w:szCs w:val="24"/>
        </w:rPr>
        <w:t>. -  Предстоящий ввод в эксплуатацию АТ на площадке АО «СХК» даст старт практической подготовке оперативного персонала этого энергоблока».</w:t>
      </w:r>
    </w:p>
    <w:p>
      <w:pPr>
        <w:pStyle w:val="Normal"/>
        <w:spacing w:lineRule="auto" w:line="240" w:before="0" w:after="113"/>
        <w:jc w:val="both"/>
        <w:rPr/>
      </w:pPr>
      <w:r>
        <w:rPr>
          <w:rFonts w:ascii="Trebuchet MS" w:hAnsi="Trebuchet MS"/>
          <w:sz w:val="24"/>
          <w:szCs w:val="24"/>
        </w:rPr>
        <w:t xml:space="preserve">Теперь тренажер будет упакован и отправлен заказчику на СХК, где до конца августа он должен быть смонтирован, отлажен и введен в эксплуатацию. </w:t>
      </w:r>
    </w:p>
    <w:p>
      <w:pPr>
        <w:pStyle w:val="Normal"/>
        <w:spacing w:lineRule="auto" w:line="240" w:before="0" w:after="113"/>
        <w:jc w:val="both"/>
        <w:rPr/>
      </w:pPr>
      <w:r>
        <w:rPr>
          <w:rFonts w:ascii="Trebuchet MS" w:hAnsi="Trebuchet MS"/>
          <w:sz w:val="24"/>
          <w:szCs w:val="24"/>
        </w:rPr>
        <w:t xml:space="preserve">Одновременно ВНИИАЭС ведет разработку и полномасштабного тренажера блока </w:t>
      </w:r>
      <w:r>
        <w:rPr>
          <w:rFonts w:ascii="Trebuchet MS" w:hAnsi="Trebuchet MS"/>
          <w:color w:val="202122"/>
          <w:sz w:val="24"/>
          <w:szCs w:val="24"/>
          <w:highlight w:val="white"/>
        </w:rPr>
        <w:t>БРЕСТ-ОД-300, комплексные испытания которого на площадке ВНИИАЭС планируется провести в декабре 2025 года.</w:t>
      </w:r>
    </w:p>
    <w:p>
      <w:pPr>
        <w:pStyle w:val="Normal"/>
        <w:spacing w:lineRule="auto" w:line="240" w:before="0" w:after="113"/>
        <w:jc w:val="both"/>
        <w:rPr/>
      </w:pPr>
      <w:r>
        <w:rPr>
          <w:rFonts w:ascii="Trebuchet MS" w:hAnsi="Trebuchet MS"/>
          <w:b/>
          <w:bCs/>
          <w:i/>
          <w:sz w:val="24"/>
          <w:szCs w:val="24"/>
          <w:highlight w:val="white"/>
        </w:rPr>
        <w:t>Для справки:</w:t>
      </w:r>
    </w:p>
    <w:p>
      <w:pPr>
        <w:pStyle w:val="Normal"/>
        <w:spacing w:lineRule="auto" w:line="240" w:before="0" w:after="113"/>
        <w:jc w:val="both"/>
        <w:rPr>
          <w:color w:val="000000"/>
        </w:rPr>
      </w:pPr>
      <w:r>
        <w:rPr>
          <w:rFonts w:ascii="Trebuchet MS" w:hAnsi="Trebuchet MS"/>
          <w:b/>
          <w:bCs/>
          <w:i/>
          <w:color w:val="000000"/>
          <w:sz w:val="24"/>
          <w:szCs w:val="24"/>
          <w:highlight w:val="white"/>
        </w:rPr>
        <w:t>Акционерное общество «Всероссийский научно-исследовательский институт по эксплуатации атомных электростанций» (АО «ВНИИАЭС»)</w:t>
      </w:r>
      <w:r>
        <w:rPr>
          <w:rFonts w:ascii="Trebuchet MS" w:hAnsi="Trebuchet MS"/>
          <w:i/>
          <w:color w:val="000000"/>
          <w:sz w:val="24"/>
          <w:szCs w:val="24"/>
          <w:highlight w:val="white"/>
        </w:rPr>
        <w:t xml:space="preserve"> входит в Электроэнергетический дивизион Госкорпорации «Росатом», является дочерним зависимым обществом АО «Концерн Росэнергоатом» и выполняет функции научного руководителя по всем проблемам эксплуатации атомных станций Российской Федерации.</w:t>
      </w:r>
    </w:p>
    <w:p>
      <w:pPr>
        <w:pStyle w:val="Normal"/>
        <w:spacing w:lineRule="auto" w:line="240" w:before="0" w:after="113"/>
        <w:jc w:val="both"/>
        <w:rPr>
          <w:color w:val="000000"/>
        </w:rPr>
      </w:pPr>
      <w:r>
        <w:rPr>
          <w:rFonts w:ascii="Trebuchet MS" w:hAnsi="Trebuchet MS"/>
          <w:b/>
          <w:bCs/>
          <w:i/>
          <w:color w:val="000000"/>
          <w:sz w:val="24"/>
          <w:szCs w:val="24"/>
          <w:highlight w:val="white"/>
        </w:rPr>
        <w:t xml:space="preserve">Атомный энергоблок БРЕСТ-ОД-300 </w:t>
      </w:r>
      <w:r>
        <w:rPr>
          <w:rFonts w:ascii="Trebuchet MS" w:hAnsi="Trebuchet MS"/>
          <w:i/>
          <w:color w:val="000000"/>
          <w:sz w:val="24"/>
          <w:szCs w:val="24"/>
          <w:highlight w:val="white"/>
        </w:rPr>
        <w:t>мощностью 300 МВт на быстрых нейтронах со свинцовым теплоносителем – ключевой объект Опытно-демонстрационного энергокомплекса IV поколения, который строится в Северске Томской области в рамках стратегического отраслевого проекта «Прорыв» на площадке Сибирского химического комбината (АО «СХК», предприятие Топливного дивизиона «Росатома»). Помимо АЭС с реактором БРЕСТ-ОД-300, ОДЭК будет также включать объекты пристанционного ядерного топливного цикла - комплекс по производству смешанного уран-плутониевого нитридного топлива, а также модуль переработки облученного ядерного топлива. БРЕСТ-ОД-300 станет первой в мире реакторной установкой со свинцовым теплоносителем, в его архитектуре заложены принципы так называемой естественной безопасности. Эффективность реактора будет также обеспечена за счет использования инновационного СНУП-топлива. Оно полностью состоит из вторичных продуктов ядерного топливного цикла - обедненного урана и плутония. Таким образом, его производство и внедрение позволит многократно расширить ресурсную базу атомной энергетики, перерабатывать облученные ТВС для производства свежего топлива вместо хранения, а также радикально сократить образование радиоактивных отходов.</w:t>
      </w:r>
    </w:p>
    <w:p>
      <w:pPr>
        <w:pStyle w:val="Normal"/>
        <w:spacing w:lineRule="auto" w:line="240" w:before="0" w:after="113"/>
        <w:jc w:val="both"/>
        <w:rPr>
          <w:color w:val="000000"/>
        </w:rPr>
      </w:pPr>
      <w:r>
        <w:rPr>
          <w:rFonts w:ascii="Trebuchet MS" w:hAnsi="Trebuchet MS"/>
          <w:i/>
          <w:color w:val="000000"/>
          <w:sz w:val="24"/>
          <w:szCs w:val="24"/>
          <w:highlight w:val="white"/>
        </w:rPr>
        <w:t>В реакторах на тепловых нейтронах, составляющих основу современной атомной энергетики, используется около 1% урана, оставшиеся 99% направляются на временное хранение или утилизируются как радиоактивные отходы. Преимущество реакторов на быстрых нейтронах – способность эффективно использовать для производства энергии вторичные продукты топливного цикла  (в частности, плутоний). При этом обладая высоким коэффициентом воспроизводства, «быстрые» реакторы могут производить больше потенциального топлива, чем потребляют, а также «дожигать» (то есть утилизировать с выработкой энергии) высокоактивные трансурановые элементы (актиниды).</w:t>
      </w:r>
    </w:p>
    <w:p>
      <w:pPr>
        <w:pStyle w:val="Normal"/>
        <w:spacing w:lineRule="auto" w:line="240" w:before="0" w:after="113"/>
        <w:jc w:val="both"/>
        <w:rPr>
          <w:color w:val="000000"/>
        </w:rPr>
      </w:pPr>
      <w:r>
        <w:rPr>
          <w:rFonts w:ascii="Trebuchet MS" w:hAnsi="Trebuchet MS"/>
          <w:i/>
          <w:color w:val="000000"/>
          <w:sz w:val="24"/>
          <w:szCs w:val="24"/>
          <w:highlight w:val="white"/>
        </w:rPr>
        <w:t xml:space="preserve">Согласно классификации, принятой МАГАТЭ, IV поколение ядерных энергетических систем предполагает применение различных технологий, которые объединены общим результатом – более высокой эффективностью использования топлива, увеличенной безопасностью, энергоэффективностью, сокращением отработавшего ядерного топлива и т.п. Ядерные энергетические системы IV поколения способны кардинально изменить атомную энергетику, прежде всего за счет нового уровня безопасности, расширения топливной номенклатуры и существенного сокращения радиоактивных отходов. </w:t>
      </w:r>
    </w:p>
    <w:p>
      <w:pPr>
        <w:pStyle w:val="Normal"/>
        <w:spacing w:lineRule="auto" w:line="240" w:before="0" w:after="113"/>
        <w:jc w:val="both"/>
        <w:rPr>
          <w:color w:val="000000"/>
        </w:rPr>
      </w:pPr>
      <w:r>
        <w:rPr>
          <w:rFonts w:ascii="Trebuchet MS" w:hAnsi="Trebuchet MS"/>
          <w:b w:val="false"/>
          <w:i/>
          <w:caps w:val="false"/>
          <w:smallCaps w:val="false"/>
          <w:color w:val="000000"/>
          <w:spacing w:val="0"/>
          <w:sz w:val="24"/>
          <w:szCs w:val="24"/>
          <w:highlight w:val="white"/>
        </w:rPr>
        <w:t>Россия является единственной страной в мире, где создается целая энергетическая система IV поколения, основанная на пристанционном замкнутом ядерного топливном цикле. На Белоярской АЭС начались предпроектные работы по сооружению энергоблока БН-1200М. А на одной площадке в Северске (Томская обл.) в рамках проекта «Прорыв» ведется строительство опытно-демонстрационного энергокомплекса в составе энергоблока с реактором БРЕСТ-ОД-300, завода по фабрикации и рефабрикации ядерного топлива, а также модуль по переработке ОЯТ.</w:t>
      </w:r>
    </w:p>
    <w:p>
      <w:pPr>
        <w:pStyle w:val="Normal"/>
        <w:spacing w:lineRule="auto" w:line="240" w:before="0" w:after="113"/>
        <w:jc w:val="both"/>
        <w:rPr>
          <w:rFonts w:ascii="arial;helvetica;sans-serif" w:hAnsi="arial;helvetica;sans-serif"/>
          <w:b w:val="false"/>
          <w:i/>
          <w:i/>
          <w:color w:val="000000"/>
          <w:spacing w:val="0"/>
          <w:sz w:val="18"/>
        </w:rPr>
      </w:pPr>
      <w:r>
        <w:rPr>
          <w:rFonts w:ascii="Trebuchet MS" w:hAnsi="Trebuchet MS"/>
          <w:b w:val="false"/>
          <w:i/>
          <w:color w:val="000000"/>
          <w:spacing w:val="0"/>
          <w:sz w:val="24"/>
          <w:szCs w:val="24"/>
          <w:highlight w:val="white"/>
        </w:rPr>
        <w:t>Инновационные технологии Росатома основаны на передовых достижениях российской атомной науки и в полной мере отвечают актуальной ESG-повестке. Достигнутые результаты – это труд тысяч высококвалифицированных профессионалов, которые работают в интересах экономической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экономики.</w:t>
      </w:r>
    </w:p>
    <w:p>
      <w:pPr>
        <w:pStyle w:val="Normal"/>
        <w:spacing w:lineRule="auto" w:line="240" w:before="0" w:after="113"/>
        <w:jc w:val="right"/>
        <w:rPr>
          <w:b/>
          <w:bCs/>
        </w:rPr>
      </w:pPr>
      <w:r>
        <w:rPr>
          <w:rFonts w:ascii="Trebuchet MS" w:hAnsi="Trebuchet MS"/>
          <w:b/>
          <w:bCs/>
          <w:i/>
          <w:color w:val="232629"/>
          <w:sz w:val="24"/>
          <w:szCs w:val="24"/>
          <w:highlight w:val="white"/>
        </w:rPr>
        <w:t>Пресс-служба АО «ВНИИАЭС»</w:t>
      </w:r>
    </w:p>
    <w:p>
      <w:pPr>
        <w:pStyle w:val="Normal"/>
        <w:spacing w:lineRule="auto" w:line="240" w:before="0" w:after="113"/>
        <w:jc w:val="both"/>
        <w:rPr/>
      </w:pPr>
      <w:r>
        <w:rPr/>
      </w:r>
    </w:p>
    <w:p>
      <w:pPr>
        <w:pStyle w:val="Normal"/>
        <w:spacing w:lineRule="auto" w:line="240" w:before="0" w:after="113"/>
        <w:jc w:val="both"/>
        <w:rPr/>
      </w:pPr>
      <w:r>
        <w:rPr/>
      </w:r>
    </w:p>
    <w:sectPr>
      <w:type w:val="nextPage"/>
      <w:pgSz w:w="11906" w:h="16838"/>
      <w:pgMar w:left="1177" w:right="850" w:gutter="0" w:header="0" w:top="585" w:footer="0" w:bottom="8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rebuchet MS">
    <w:charset w:val="01"/>
    <w:family w:val="roman"/>
    <w:pitch w:val="default"/>
  </w:font>
  <w:font w:name="arial">
    <w:altName w:val="helvetica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sz w:val="28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Times New Roman" w:hAnsi="Times New Roman"/>
      <w:color w:val="000000"/>
      <w:sz w:val="28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Linenumber">
    <w:name w:val="line number"/>
    <w:link w:val="15"/>
    <w:qFormat/>
    <w:rPr/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-">
    <w:name w:val="Hyperlink"/>
    <w:link w:val="16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9" w:customStyle="1">
    <w:name w:val="Список Знак"/>
    <w:basedOn w:val="Style11"/>
    <w:qFormat/>
    <w:rPr>
      <w:rFonts w:ascii="PT Astra Serif" w:hAnsi="PT Astra Serif"/>
      <w:color w:val="000000"/>
      <w:sz w:val="28"/>
    </w:rPr>
  </w:style>
  <w:style w:type="character" w:styleId="Style10" w:customStyle="1">
    <w:name w:val="Указатель Знак"/>
    <w:basedOn w:val="11"/>
    <w:link w:val="Indexheading"/>
    <w:qFormat/>
    <w:rPr>
      <w:rFonts w:ascii="PT Astra Serif" w:hAnsi="PT Astra Serif"/>
      <w:color w:val="000000"/>
      <w:sz w:val="28"/>
    </w:rPr>
  </w:style>
  <w:style w:type="character" w:styleId="14" w:customStyle="1">
    <w:name w:val="Заголовок1"/>
    <w:basedOn w:val="11"/>
    <w:qFormat/>
    <w:rPr>
      <w:rFonts w:ascii="PT Astra Serif" w:hAnsi="PT Astra Serif"/>
      <w:color w:val="000000"/>
      <w:sz w:val="28"/>
    </w:rPr>
  </w:style>
  <w:style w:type="character" w:styleId="Style11" w:customStyle="1">
    <w:name w:val="Основной текст Знак"/>
    <w:basedOn w:val="11"/>
    <w:qFormat/>
    <w:rPr>
      <w:rFonts w:ascii="Times New Roman" w:hAnsi="Times New Roman"/>
      <w:color w:val="000000"/>
      <w:sz w:val="28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Название объекта Знак"/>
    <w:basedOn w:val="11"/>
    <w:link w:val="Caption"/>
    <w:qFormat/>
    <w:rPr>
      <w:rFonts w:ascii="PT Astra Serif" w:hAnsi="PT Astra Serif"/>
      <w:i/>
      <w:color w:val="000000"/>
      <w:sz w:val="24"/>
    </w:rPr>
  </w:style>
  <w:style w:type="character" w:styleId="Style14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link w:val="Style11"/>
    <w:pPr>
      <w:spacing w:before="0" w:after="140"/>
    </w:pPr>
    <w:rPr/>
  </w:style>
  <w:style w:type="paragraph" w:styleId="Style17">
    <w:name w:val="List"/>
    <w:basedOn w:val="Style16"/>
    <w:link w:val="Style9"/>
    <w:pPr/>
    <w:rPr>
      <w:rFonts w:ascii="PT Astra Serif" w:hAnsi="PT Astra Serif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23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 w:customStyle="1">
    <w:name w:val="Номер строки1"/>
    <w:link w:val="Linenumber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8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7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Indexheading">
    <w:name w:val="index heading"/>
    <w:basedOn w:val="Normal"/>
    <w:link w:val="Style10"/>
    <w:qFormat/>
    <w:pPr/>
    <w:rPr>
      <w:rFonts w:ascii="PT Astra Serif" w:hAnsi="PT Astra Serif"/>
    </w:rPr>
  </w:style>
  <w:style w:type="paragraph" w:styleId="Style21">
    <w:name w:val="Title"/>
    <w:next w:val="Style16"/>
    <w:link w:val="Style14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Style22">
    <w:name w:val="Subtitle"/>
    <w:next w:val="Normal"/>
    <w:link w:val="Style12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aption">
    <w:name w:val="caption"/>
    <w:basedOn w:val="Normal"/>
    <w:link w:val="Style13"/>
    <w:qFormat/>
    <w:pPr>
      <w:spacing w:before="120" w:after="120"/>
    </w:pPr>
    <w:rPr>
      <w:rFonts w:ascii="PT Astra Serif" w:hAnsi="PT Astra Serif"/>
      <w:i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LibreOffice/7.5.6.2$Linux_X86_64 LibreOffice_project/50$Build-2</Application>
  <AppVersion>15.0000</AppVersion>
  <Pages>3</Pages>
  <Words>857</Words>
  <Characters>6594</Characters>
  <CharactersWithSpaces>7448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2025-05-30T12:11:00Z</dcterms:created>
  <dc:creator/>
  <dc:description/>
  <dc:language>ru-RU</dc:language>
  <cp:lastModifiedBy/>
  <dcterms:modified xsi:type="dcterms:W3CDTF">2025-05-30T16:51:41Z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